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33C1A3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6F6388">
        <w:rPr>
          <w:sz w:val="32"/>
          <w:szCs w:val="32"/>
        </w:rPr>
        <w:t>15603</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31C74C1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E1719">
        <w:rPr>
          <w:sz w:val="22"/>
          <w:lang w:val="sv-FI"/>
        </w:rPr>
        <w:t>5.28.4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2BF1734" w:rsidR="00E90E49" w:rsidRPr="00CE0424" w:rsidRDefault="003D3C45" w:rsidP="00311702">
      <w:pPr>
        <w:pStyle w:val="3GPPHeader"/>
        <w:rPr>
          <w:sz w:val="22"/>
        </w:rPr>
      </w:pPr>
      <w:r>
        <w:rPr>
          <w:sz w:val="22"/>
        </w:rPr>
        <w:t>Title:</w:t>
      </w:r>
      <w:r w:rsidR="00E90E49" w:rsidRPr="00CE0424">
        <w:rPr>
          <w:sz w:val="22"/>
        </w:rPr>
        <w:tab/>
      </w:r>
      <w:r w:rsidR="00C91DE6">
        <w:rPr>
          <w:sz w:val="22"/>
        </w:rPr>
        <w:t>NCR conformance considerations</w:t>
      </w:r>
    </w:p>
    <w:p w14:paraId="025260C1" w14:textId="1EFF27C6" w:rsidR="00E90E49" w:rsidRPr="00CE0424" w:rsidRDefault="00E90E49" w:rsidP="00D546FF">
      <w:pPr>
        <w:pStyle w:val="3GPPHeader"/>
        <w:rPr>
          <w:sz w:val="22"/>
        </w:rPr>
      </w:pPr>
      <w:r w:rsidRPr="00CE0424">
        <w:rPr>
          <w:sz w:val="22"/>
        </w:rPr>
        <w:t>Document for:</w:t>
      </w:r>
      <w:r w:rsidRPr="00CE0424">
        <w:rPr>
          <w:sz w:val="22"/>
        </w:rPr>
        <w:tab/>
      </w:r>
      <w:r w:rsidR="00C91DE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DA599EB" w:rsidR="00477768" w:rsidRPr="00CE0424" w:rsidRDefault="008C3357" w:rsidP="00CE0424">
      <w:pPr>
        <w:pStyle w:val="BodyText"/>
      </w:pPr>
      <w:r>
        <w:t xml:space="preserve">In this contribution, two </w:t>
      </w:r>
      <w:r w:rsidR="00306918">
        <w:t xml:space="preserve">of the issues for </w:t>
      </w:r>
      <w:r w:rsidR="005C3F17">
        <w:t xml:space="preserve">NCR </w:t>
      </w:r>
      <w:proofErr w:type="spellStart"/>
      <w:r w:rsidR="005C3F17">
        <w:t>demod</w:t>
      </w:r>
      <w:proofErr w:type="spellEnd"/>
      <w:r w:rsidR="005C3F17">
        <w:t xml:space="preserve"> are considered; test configurations for joint NCR-FWD and NCR-MT uplink transmission and </w:t>
      </w:r>
      <w:r w:rsidR="00026E5F">
        <w:t>mixed types.</w:t>
      </w:r>
    </w:p>
    <w:p w14:paraId="60123794" w14:textId="1553854C" w:rsidR="004000E8" w:rsidRDefault="00230D18" w:rsidP="00CE0424">
      <w:pPr>
        <w:pStyle w:val="Heading1"/>
      </w:pPr>
      <w:bookmarkStart w:id="0" w:name="_Ref178064866"/>
      <w:r>
        <w:t>2</w:t>
      </w:r>
      <w:r>
        <w:tab/>
      </w:r>
      <w:bookmarkEnd w:id="0"/>
      <w:r w:rsidR="00026E5F">
        <w:t>Test configuration for simultaneous NCR-FWD and NCR-MT transmission</w:t>
      </w:r>
    </w:p>
    <w:p w14:paraId="0222C9C7" w14:textId="77777777" w:rsidR="00F540CF" w:rsidRDefault="00F540CF" w:rsidP="00026E5F">
      <w:pPr>
        <w:rPr>
          <w:lang w:val="en-GB" w:eastAsia="ja-JP"/>
        </w:rPr>
      </w:pPr>
    </w:p>
    <w:p w14:paraId="402D7114" w14:textId="13D58A2E" w:rsidR="00026E5F" w:rsidRDefault="00026E5F" w:rsidP="00026E5F">
      <w:pPr>
        <w:rPr>
          <w:lang w:val="en-GB" w:eastAsia="ja-JP"/>
        </w:rPr>
      </w:pPr>
      <w:r>
        <w:rPr>
          <w:lang w:val="en-GB" w:eastAsia="ja-JP"/>
        </w:rPr>
        <w:t xml:space="preserve">During RAN4#108, it was agreed </w:t>
      </w:r>
      <w:proofErr w:type="gramStart"/>
      <w:r>
        <w:rPr>
          <w:lang w:val="en-GB" w:eastAsia="ja-JP"/>
        </w:rPr>
        <w:t xml:space="preserve">that </w:t>
      </w:r>
      <w:r w:rsidR="00A61B9A">
        <w:rPr>
          <w:lang w:val="en-GB" w:eastAsia="ja-JP"/>
        </w:rPr>
        <w:t xml:space="preserve"> for</w:t>
      </w:r>
      <w:proofErr w:type="gramEnd"/>
      <w:r w:rsidR="00A61B9A">
        <w:rPr>
          <w:lang w:val="en-GB" w:eastAsia="ja-JP"/>
        </w:rPr>
        <w:t xml:space="preserve"> NCR-FWD DL testing, the same test configurations as used in 38.115 could be applied. In fact, the 38.115 test configurations </w:t>
      </w:r>
      <w:r w:rsidR="00246424">
        <w:rPr>
          <w:lang w:val="en-GB" w:eastAsia="ja-JP"/>
        </w:rPr>
        <w:t>can also be applied for NCR-FWD UL when there</w:t>
      </w:r>
      <w:r w:rsidR="00C91DE6">
        <w:rPr>
          <w:lang w:val="en-GB" w:eastAsia="ja-JP"/>
        </w:rPr>
        <w:t xml:space="preserve"> </w:t>
      </w:r>
      <w:r w:rsidR="00246424">
        <w:rPr>
          <w:lang w:val="en-GB" w:eastAsia="ja-JP"/>
        </w:rPr>
        <w:t>is no simultaneous transmission with NCR-MT.</w:t>
      </w:r>
    </w:p>
    <w:p w14:paraId="4E35CB50" w14:textId="00C59382" w:rsidR="00246424" w:rsidRDefault="00246424" w:rsidP="00026E5F">
      <w:pPr>
        <w:rPr>
          <w:lang w:val="en-GB" w:eastAsia="ja-JP"/>
        </w:rPr>
      </w:pPr>
    </w:p>
    <w:p w14:paraId="36B894BB" w14:textId="2E0A819E" w:rsidR="00246424" w:rsidRDefault="00246424" w:rsidP="00246424">
      <w:pPr>
        <w:pStyle w:val="Proposal"/>
        <w:rPr>
          <w:lang w:val="en-GB"/>
        </w:rPr>
      </w:pPr>
      <w:bookmarkStart w:id="1" w:name="_Toc146708074"/>
      <w:r>
        <w:rPr>
          <w:lang w:val="en-GB"/>
        </w:rPr>
        <w:t xml:space="preserve">Apply the test configurations of 38.115 for NCR-FWD UL </w:t>
      </w:r>
      <w:r w:rsidR="0081316F">
        <w:rPr>
          <w:lang w:val="en-GB"/>
        </w:rPr>
        <w:t>when there is no simultaneous NCR-MT transmission.</w:t>
      </w:r>
      <w:bookmarkEnd w:id="1"/>
    </w:p>
    <w:p w14:paraId="7A3EBDF5" w14:textId="3BA956E5" w:rsidR="0081316F" w:rsidRDefault="0081316F" w:rsidP="0081316F">
      <w:pPr>
        <w:pStyle w:val="Doc-text2"/>
        <w:ind w:left="0" w:firstLine="0"/>
      </w:pPr>
    </w:p>
    <w:p w14:paraId="6A775BC4" w14:textId="31730C34" w:rsidR="00C231A9" w:rsidRPr="00C231A9" w:rsidRDefault="00B04567" w:rsidP="0081316F">
      <w:pPr>
        <w:pStyle w:val="Doc-text2"/>
        <w:ind w:left="0" w:firstLine="0"/>
        <w:rPr>
          <w:lang w:val="en-US"/>
        </w:rPr>
      </w:pPr>
      <w:r>
        <w:rPr>
          <w:noProof/>
          <w:lang w:val="en-US"/>
        </w:rPr>
        <w:drawing>
          <wp:inline distT="0" distB="0" distL="0" distR="0" wp14:anchorId="150490C2" wp14:editId="63C49056">
            <wp:extent cx="6043686" cy="971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9286" cy="984064"/>
                    </a:xfrm>
                    <a:prstGeom prst="rect">
                      <a:avLst/>
                    </a:prstGeom>
                    <a:noFill/>
                  </pic:spPr>
                </pic:pic>
              </a:graphicData>
            </a:graphic>
          </wp:inline>
        </w:drawing>
      </w:r>
    </w:p>
    <w:p w14:paraId="69E2C4EB" w14:textId="77777777" w:rsidR="00C231A9" w:rsidRDefault="00C231A9" w:rsidP="0081316F">
      <w:pPr>
        <w:pStyle w:val="Doc-text2"/>
        <w:ind w:left="0" w:firstLine="0"/>
        <w:rPr>
          <w:lang w:val="en-US"/>
        </w:rPr>
      </w:pPr>
    </w:p>
    <w:p w14:paraId="23E7C160" w14:textId="2C696231" w:rsidR="0081316F" w:rsidRDefault="0081316F" w:rsidP="0081316F">
      <w:pPr>
        <w:pStyle w:val="Doc-text2"/>
        <w:ind w:left="0" w:firstLine="0"/>
        <w:rPr>
          <w:lang w:val="en-US"/>
        </w:rPr>
      </w:pPr>
      <w:r>
        <w:rPr>
          <w:lang w:val="en-US"/>
        </w:rPr>
        <w:t xml:space="preserve">For the NCR-MT, it was agreed that </w:t>
      </w:r>
      <w:r w:rsidR="001672FB">
        <w:rPr>
          <w:lang w:val="en-US"/>
        </w:rPr>
        <w:t>testing is performed by placing carriers at the upper and the lower parts of each RF band when there is no simultaneous transmission.</w:t>
      </w:r>
      <w:r w:rsidR="00D62504">
        <w:rPr>
          <w:lang w:val="en-US"/>
        </w:rPr>
        <w:t xml:space="preserve"> There is only a single NCR-MT carrier</w:t>
      </w:r>
      <w:r w:rsidR="00F618D4">
        <w:rPr>
          <w:lang w:val="en-US"/>
        </w:rPr>
        <w:t xml:space="preserve">, and hence </w:t>
      </w:r>
      <w:proofErr w:type="gramStart"/>
      <w:r w:rsidR="00F618D4">
        <w:rPr>
          <w:lang w:val="en-US"/>
        </w:rPr>
        <w:t>a number of</w:t>
      </w:r>
      <w:proofErr w:type="gramEnd"/>
      <w:r w:rsidR="00F618D4">
        <w:rPr>
          <w:lang w:val="en-US"/>
        </w:rPr>
        <w:t xml:space="preserve"> consecutive tests are performed with the NCR-MT carrier in each of the edge positions.</w:t>
      </w:r>
    </w:p>
    <w:p w14:paraId="61E8A99F" w14:textId="35C01EF7" w:rsidR="00C231A9" w:rsidRDefault="00C231A9" w:rsidP="0081316F">
      <w:pPr>
        <w:pStyle w:val="Doc-text2"/>
        <w:ind w:left="0" w:firstLine="0"/>
        <w:rPr>
          <w:lang w:val="en-US"/>
        </w:rPr>
      </w:pPr>
    </w:p>
    <w:p w14:paraId="2670BA48" w14:textId="564512AD" w:rsidR="00C231A9" w:rsidRDefault="00E46E41" w:rsidP="0081316F">
      <w:pPr>
        <w:pStyle w:val="Doc-text2"/>
        <w:ind w:left="0" w:firstLine="0"/>
        <w:rPr>
          <w:lang w:val="en-US"/>
        </w:rPr>
      </w:pPr>
      <w:r>
        <w:rPr>
          <w:noProof/>
          <w:lang w:val="en-US"/>
        </w:rPr>
        <w:lastRenderedPageBreak/>
        <w:drawing>
          <wp:inline distT="0" distB="0" distL="0" distR="0" wp14:anchorId="4005E54C" wp14:editId="2873BDB4">
            <wp:extent cx="5987070" cy="289257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8510" cy="2902931"/>
                    </a:xfrm>
                    <a:prstGeom prst="rect">
                      <a:avLst/>
                    </a:prstGeom>
                    <a:noFill/>
                  </pic:spPr>
                </pic:pic>
              </a:graphicData>
            </a:graphic>
          </wp:inline>
        </w:drawing>
      </w:r>
    </w:p>
    <w:p w14:paraId="6E87F0BB" w14:textId="77777777" w:rsidR="00E46E41" w:rsidRDefault="00E46E41" w:rsidP="0081316F">
      <w:pPr>
        <w:pStyle w:val="Doc-text2"/>
        <w:ind w:left="0" w:firstLine="0"/>
        <w:rPr>
          <w:lang w:val="en-US"/>
        </w:rPr>
      </w:pPr>
    </w:p>
    <w:p w14:paraId="530FE879" w14:textId="75E867FD" w:rsidR="001672FB" w:rsidRDefault="001672FB" w:rsidP="0081316F">
      <w:pPr>
        <w:pStyle w:val="Doc-text2"/>
        <w:ind w:left="0" w:firstLine="0"/>
        <w:rPr>
          <w:lang w:val="en-US"/>
        </w:rPr>
      </w:pPr>
    </w:p>
    <w:p w14:paraId="6FEA3F61" w14:textId="32762C19" w:rsidR="001672FB" w:rsidRDefault="001672FB" w:rsidP="0081316F">
      <w:pPr>
        <w:pStyle w:val="Doc-text2"/>
        <w:ind w:left="0" w:firstLine="0"/>
        <w:rPr>
          <w:lang w:val="en-US"/>
        </w:rPr>
      </w:pPr>
      <w:r>
        <w:rPr>
          <w:lang w:val="en-US"/>
        </w:rPr>
        <w:t xml:space="preserve">The test configuration when simultaneous transmissions </w:t>
      </w:r>
      <w:proofErr w:type="gramStart"/>
      <w:r>
        <w:rPr>
          <w:lang w:val="en-US"/>
        </w:rPr>
        <w:t>applies</w:t>
      </w:r>
      <w:proofErr w:type="gramEnd"/>
      <w:r>
        <w:rPr>
          <w:lang w:val="en-US"/>
        </w:rPr>
        <w:t xml:space="preserve"> was not as yet agreed. When considering the test configuration, it is worth to consider that the NCR-MT and NCR-FWD are different functions and possibly different hardware. Thus, passing conformance with </w:t>
      </w:r>
      <w:proofErr w:type="gramStart"/>
      <w:r>
        <w:rPr>
          <w:lang w:val="en-US"/>
        </w:rPr>
        <w:t>e.g.</w:t>
      </w:r>
      <w:proofErr w:type="gramEnd"/>
      <w:r>
        <w:rPr>
          <w:lang w:val="en-US"/>
        </w:rPr>
        <w:t xml:space="preserve"> NCR-FWD at the edge of a band does not guarantee performance for NCR-MT at the edge of the same band</w:t>
      </w:r>
      <w:r w:rsidR="00D62504">
        <w:rPr>
          <w:lang w:val="en-US"/>
        </w:rPr>
        <w:t>.</w:t>
      </w:r>
    </w:p>
    <w:p w14:paraId="7A8697C4" w14:textId="18792E7F" w:rsidR="00D62504" w:rsidRDefault="00D62504" w:rsidP="0081316F">
      <w:pPr>
        <w:pStyle w:val="Doc-text2"/>
        <w:ind w:left="0" w:firstLine="0"/>
        <w:rPr>
          <w:lang w:val="en-US"/>
        </w:rPr>
      </w:pPr>
    </w:p>
    <w:p w14:paraId="7BF96E03" w14:textId="0C436A1D" w:rsidR="00D62504" w:rsidRDefault="00D62504" w:rsidP="0081316F">
      <w:pPr>
        <w:pStyle w:val="Doc-text2"/>
        <w:ind w:left="0" w:firstLine="0"/>
        <w:rPr>
          <w:lang w:val="en-US"/>
        </w:rPr>
      </w:pPr>
      <w:r>
        <w:rPr>
          <w:lang w:val="en-US"/>
        </w:rPr>
        <w:t>For this reason</w:t>
      </w:r>
      <w:r w:rsidR="00F618D4">
        <w:rPr>
          <w:lang w:val="en-US"/>
        </w:rPr>
        <w:t xml:space="preserve">, it is important to run a series of tests that ensure testing is performed for both NCR-FWD and NCR-MT at each bandwidth edge. This can be achieved by (i) using the </w:t>
      </w:r>
      <w:r w:rsidR="00577143">
        <w:rPr>
          <w:lang w:val="en-US"/>
        </w:rPr>
        <w:t xml:space="preserve">test configuration for NCR-FWD of </w:t>
      </w:r>
      <w:r w:rsidR="008E1528">
        <w:rPr>
          <w:lang w:val="en-US"/>
        </w:rPr>
        <w:t xml:space="preserve">38.115, (ii) replacing the NCR-FWD with an NCR-MT carrier at </w:t>
      </w:r>
      <w:r w:rsidR="0039633B">
        <w:rPr>
          <w:lang w:val="en-US"/>
        </w:rPr>
        <w:t>an</w:t>
      </w:r>
      <w:r w:rsidR="008E1528">
        <w:rPr>
          <w:lang w:val="en-US"/>
        </w:rPr>
        <w:t xml:space="preserve"> RF bandwidth edg</w:t>
      </w:r>
      <w:r w:rsidR="0039633B">
        <w:rPr>
          <w:lang w:val="en-US"/>
        </w:rPr>
        <w:t>e and (iii) repeating the previous two steps until each bandwidth edge has been tested with NCR-MT.</w:t>
      </w:r>
    </w:p>
    <w:p w14:paraId="114A9D99" w14:textId="768CBFDC" w:rsidR="00C231A9" w:rsidRDefault="00C231A9" w:rsidP="0081316F">
      <w:pPr>
        <w:pStyle w:val="Doc-text2"/>
        <w:ind w:left="0" w:firstLine="0"/>
        <w:rPr>
          <w:lang w:val="en-US"/>
        </w:rPr>
      </w:pPr>
    </w:p>
    <w:p w14:paraId="10A94D7E" w14:textId="00A060E6" w:rsidR="00C231A9" w:rsidRDefault="00F04005" w:rsidP="0081316F">
      <w:pPr>
        <w:pStyle w:val="Doc-text2"/>
        <w:ind w:left="0" w:firstLine="0"/>
        <w:rPr>
          <w:lang w:val="en-US"/>
        </w:rPr>
      </w:pPr>
      <w:r>
        <w:rPr>
          <w:noProof/>
          <w:lang w:val="en-US"/>
        </w:rPr>
        <w:drawing>
          <wp:inline distT="0" distB="0" distL="0" distR="0" wp14:anchorId="5E3DF583" wp14:editId="58415192">
            <wp:extent cx="6047830" cy="31775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3083" cy="3190857"/>
                    </a:xfrm>
                    <a:prstGeom prst="rect">
                      <a:avLst/>
                    </a:prstGeom>
                    <a:noFill/>
                  </pic:spPr>
                </pic:pic>
              </a:graphicData>
            </a:graphic>
          </wp:inline>
        </w:drawing>
      </w:r>
    </w:p>
    <w:p w14:paraId="33F39052" w14:textId="21F4683E" w:rsidR="00C231A9" w:rsidRDefault="00C231A9" w:rsidP="0081316F">
      <w:pPr>
        <w:pStyle w:val="Doc-text2"/>
        <w:ind w:left="0" w:firstLine="0"/>
        <w:rPr>
          <w:lang w:val="en-US"/>
        </w:rPr>
      </w:pPr>
    </w:p>
    <w:p w14:paraId="384FCCD2" w14:textId="0B34DAC7" w:rsidR="00C231A9" w:rsidRDefault="00C231A9" w:rsidP="00C231A9">
      <w:pPr>
        <w:pStyle w:val="Proposal"/>
      </w:pPr>
      <w:bookmarkStart w:id="2" w:name="_Toc146708075"/>
      <w:r>
        <w:t>For simultaneous NCR-FWD and NCR-MT</w:t>
      </w:r>
      <w:r w:rsidR="00F04005">
        <w:t xml:space="preserve"> with both in the passband frequency range</w:t>
      </w:r>
      <w:r>
        <w:t xml:space="preserve">, test with the NCR-FWD activated and one of the NCR-FWD input carriers replaced by NCR-MT. Repeat the test such that all NCR-MT positions at RF bandwidth edges are </w:t>
      </w:r>
      <w:r w:rsidR="00E14CE7">
        <w:t>tested.</w:t>
      </w:r>
      <w:bookmarkEnd w:id="2"/>
    </w:p>
    <w:p w14:paraId="148DB0CA" w14:textId="57591C54" w:rsidR="00C231A9" w:rsidRDefault="00037597" w:rsidP="0081316F">
      <w:pPr>
        <w:pStyle w:val="Doc-text2"/>
        <w:ind w:left="0" w:firstLine="0"/>
        <w:rPr>
          <w:lang w:val="en-US"/>
        </w:rPr>
      </w:pPr>
      <w:r>
        <w:rPr>
          <w:lang w:val="en-US"/>
        </w:rPr>
        <w:lastRenderedPageBreak/>
        <w:t>Further discussion is needed if the MT can be configured outside of the passband, or partially overlapping the passband. In case the MT can be configured outside of the passband, then the FWD should be activated in the passband and the MT in each configurable position for joint operation.</w:t>
      </w:r>
    </w:p>
    <w:p w14:paraId="57FE6132" w14:textId="77777777" w:rsidR="00037597" w:rsidRDefault="00037597" w:rsidP="0081316F">
      <w:pPr>
        <w:pStyle w:val="Doc-text2"/>
        <w:ind w:left="0" w:firstLine="0"/>
        <w:rPr>
          <w:lang w:val="en-US"/>
        </w:rPr>
      </w:pPr>
    </w:p>
    <w:p w14:paraId="7F3BC277" w14:textId="0FAB2A8B" w:rsidR="00037597" w:rsidRDefault="00037597" w:rsidP="00037597">
      <w:pPr>
        <w:pStyle w:val="Proposal"/>
      </w:pPr>
      <w:bookmarkStart w:id="3" w:name="_Toc146708076"/>
      <w:r>
        <w:t>If the MT is outside of the passband, then the FWD should be activated in the passband and the MT in each configurable position for joint testing.</w:t>
      </w:r>
      <w:bookmarkEnd w:id="3"/>
    </w:p>
    <w:p w14:paraId="71154F88" w14:textId="77777777" w:rsidR="00037597" w:rsidRDefault="00037597" w:rsidP="00037597">
      <w:pPr>
        <w:pStyle w:val="Proposal"/>
        <w:numPr>
          <w:ilvl w:val="0"/>
          <w:numId w:val="0"/>
        </w:numPr>
        <w:ind w:left="1701" w:hanging="1701"/>
      </w:pPr>
    </w:p>
    <w:p w14:paraId="608D5848" w14:textId="25DE7FD3" w:rsidR="00037597" w:rsidRDefault="00037597" w:rsidP="00037597">
      <w:pPr>
        <w:pStyle w:val="Proposal"/>
      </w:pPr>
      <w:bookmarkStart w:id="4" w:name="_Toc146708077"/>
      <w:r>
        <w:t>RAN4 clarify whether an MT carrier that partially overlaps the passband is possible.</w:t>
      </w:r>
      <w:bookmarkEnd w:id="4"/>
    </w:p>
    <w:p w14:paraId="04F3F55F" w14:textId="798259E8" w:rsidR="006E062C" w:rsidRDefault="00B409E0" w:rsidP="00CE0424">
      <w:pPr>
        <w:pStyle w:val="Heading1"/>
      </w:pPr>
      <w:bookmarkStart w:id="5" w:name="_Ref189046994"/>
      <w:r>
        <w:t>3</w:t>
      </w:r>
      <w:r>
        <w:tab/>
      </w:r>
      <w:bookmarkEnd w:id="5"/>
      <w:r w:rsidR="00E14CE7">
        <w:t>Mixed repeater types</w:t>
      </w:r>
    </w:p>
    <w:p w14:paraId="1E18E3E1" w14:textId="4672F4E2" w:rsidR="0092075B" w:rsidRDefault="0092075B" w:rsidP="0092075B"/>
    <w:p w14:paraId="43296169" w14:textId="4477D713" w:rsidR="00E14CE7" w:rsidRDefault="00E14CE7" w:rsidP="0092075B">
      <w:r>
        <w:t xml:space="preserve">It has been suggested that the conformance specifications should enable the possibility of mixed repeater types </w:t>
      </w:r>
      <w:r w:rsidR="003C6703">
        <w:t>at the UE side and the BS side of the repeater. The reason for this may be to allow for connection of a fixed antenna on one side whilst having an electronic array on the other side.</w:t>
      </w:r>
    </w:p>
    <w:p w14:paraId="4482D264" w14:textId="69ED3E28" w:rsidR="003C6703" w:rsidRDefault="003C6703" w:rsidP="0092075B">
      <w:r>
        <w:t xml:space="preserve">As a reminder, for the BS specification, three </w:t>
      </w:r>
      <w:r w:rsidR="007255E1">
        <w:t xml:space="preserve">BS types are defined: 1-C, 1-H and 1-O. 1-C is a non-AAS </w:t>
      </w:r>
      <w:proofErr w:type="spellStart"/>
      <w:r w:rsidR="007255E1">
        <w:t>basestation</w:t>
      </w:r>
      <w:proofErr w:type="spellEnd"/>
      <w:r w:rsidR="007255E1">
        <w:t>. This kind of BS has a separate, fixed antenna that is not a part of the BS. If an external antenna is to be attached to a repeater, the repeater type on that side can only be 1-C.</w:t>
      </w:r>
    </w:p>
    <w:p w14:paraId="4D767513" w14:textId="3785B9F7" w:rsidR="007255E1" w:rsidRDefault="007255E1" w:rsidP="0092075B">
      <w:r>
        <w:t>1-H and 1-O BS are both AAS BS. In both cases, the BS has an integrated array</w:t>
      </w:r>
      <w:r w:rsidR="00914078">
        <w:t xml:space="preserve">. The difference is that in one case, although the BS has an integrated array, connectors are available for testing some requirements whereas in the other case it is assumed that no connectors are </w:t>
      </w:r>
      <w:proofErr w:type="gramStart"/>
      <w:r w:rsidR="00914078">
        <w:t>available</w:t>
      </w:r>
      <w:proofErr w:type="gramEnd"/>
      <w:r w:rsidR="00914078">
        <w:t xml:space="preserve"> and all testing is OTA.</w:t>
      </w:r>
    </w:p>
    <w:p w14:paraId="203BFFD7" w14:textId="0AA08C72" w:rsidR="00914078" w:rsidRDefault="00914078" w:rsidP="0092075B">
      <w:r>
        <w:t xml:space="preserve">Considering that </w:t>
      </w:r>
      <w:r w:rsidR="00555C32">
        <w:t xml:space="preserve">there are three BS types and assuming that there would be three repeater types, </w:t>
      </w:r>
      <w:proofErr w:type="gramStart"/>
      <w:r w:rsidR="00555C32">
        <w:t>a large number of</w:t>
      </w:r>
      <w:proofErr w:type="gramEnd"/>
      <w:r w:rsidR="00555C32">
        <w:t xml:space="preserve"> combinations could arise. The combinations are described below:</w:t>
      </w:r>
    </w:p>
    <w:p w14:paraId="4C3899A6" w14:textId="326B63E6" w:rsidR="00555C32" w:rsidRDefault="00555C32" w:rsidP="0092075B"/>
    <w:tbl>
      <w:tblPr>
        <w:tblStyle w:val="TableGrid"/>
        <w:tblW w:w="0" w:type="auto"/>
        <w:tblLook w:val="04A0" w:firstRow="1" w:lastRow="0" w:firstColumn="1" w:lastColumn="0" w:noHBand="0" w:noVBand="1"/>
      </w:tblPr>
      <w:tblGrid>
        <w:gridCol w:w="3209"/>
        <w:gridCol w:w="3210"/>
        <w:gridCol w:w="3210"/>
      </w:tblGrid>
      <w:tr w:rsidR="0023620F" w14:paraId="3AFAAEF4" w14:textId="77777777" w:rsidTr="0023620F">
        <w:tc>
          <w:tcPr>
            <w:tcW w:w="3209" w:type="dxa"/>
          </w:tcPr>
          <w:p w14:paraId="03EE2761" w14:textId="69A63BD8" w:rsidR="0023620F" w:rsidRDefault="0023620F" w:rsidP="0092075B">
            <w:r>
              <w:t>BS side type</w:t>
            </w:r>
          </w:p>
        </w:tc>
        <w:tc>
          <w:tcPr>
            <w:tcW w:w="3210" w:type="dxa"/>
          </w:tcPr>
          <w:p w14:paraId="626973C7" w14:textId="65DFFB17" w:rsidR="0023620F" w:rsidRDefault="0023620F" w:rsidP="0092075B">
            <w:r>
              <w:t>UE side type</w:t>
            </w:r>
          </w:p>
        </w:tc>
        <w:tc>
          <w:tcPr>
            <w:tcW w:w="3210" w:type="dxa"/>
          </w:tcPr>
          <w:p w14:paraId="028B7456" w14:textId="34294CB9" w:rsidR="0023620F" w:rsidRDefault="0023620F" w:rsidP="0092075B">
            <w:r>
              <w:t>Implication, comment</w:t>
            </w:r>
          </w:p>
        </w:tc>
      </w:tr>
      <w:tr w:rsidR="0023620F" w14:paraId="48F3AE6B" w14:textId="77777777" w:rsidTr="0023620F">
        <w:tc>
          <w:tcPr>
            <w:tcW w:w="3209" w:type="dxa"/>
          </w:tcPr>
          <w:p w14:paraId="3E16AAD3" w14:textId="06E88E14" w:rsidR="0023620F" w:rsidRDefault="0023620F" w:rsidP="0092075B">
            <w:r>
              <w:t>1-C</w:t>
            </w:r>
          </w:p>
        </w:tc>
        <w:tc>
          <w:tcPr>
            <w:tcW w:w="3210" w:type="dxa"/>
          </w:tcPr>
          <w:p w14:paraId="06A42584" w14:textId="4EE509B4" w:rsidR="0023620F" w:rsidRDefault="0023620F" w:rsidP="0092075B">
            <w:r>
              <w:t>1-C</w:t>
            </w:r>
          </w:p>
        </w:tc>
        <w:tc>
          <w:tcPr>
            <w:tcW w:w="3210" w:type="dxa"/>
          </w:tcPr>
          <w:p w14:paraId="623FE9A8" w14:textId="326AFF4D" w:rsidR="0023620F" w:rsidRDefault="00D85F13" w:rsidP="0092075B">
            <w:r>
              <w:t>Release 17 assumption</w:t>
            </w:r>
          </w:p>
        </w:tc>
      </w:tr>
      <w:tr w:rsidR="0023620F" w14:paraId="6E26F34D" w14:textId="77777777" w:rsidTr="0023620F">
        <w:tc>
          <w:tcPr>
            <w:tcW w:w="3209" w:type="dxa"/>
          </w:tcPr>
          <w:p w14:paraId="47771749" w14:textId="144A156E" w:rsidR="0023620F" w:rsidRDefault="0023620F" w:rsidP="0092075B">
            <w:r>
              <w:t>1-C</w:t>
            </w:r>
          </w:p>
        </w:tc>
        <w:tc>
          <w:tcPr>
            <w:tcW w:w="3210" w:type="dxa"/>
          </w:tcPr>
          <w:p w14:paraId="3EC5323F" w14:textId="0DCC181A" w:rsidR="0023620F" w:rsidRDefault="0023620F" w:rsidP="0092075B">
            <w:r>
              <w:t>1-H</w:t>
            </w:r>
          </w:p>
        </w:tc>
        <w:tc>
          <w:tcPr>
            <w:tcW w:w="3210" w:type="dxa"/>
          </w:tcPr>
          <w:p w14:paraId="2E2575DA" w14:textId="7B457C06" w:rsidR="0023620F" w:rsidRDefault="00D85F13" w:rsidP="0092075B">
            <w:r>
              <w:t>Fixed antenna on BS side that is not part of the receiver</w:t>
            </w:r>
            <w:r w:rsidR="004F2983">
              <w:t>. Inbuilt electronic array on UE side with connectors available.</w:t>
            </w:r>
          </w:p>
        </w:tc>
      </w:tr>
      <w:tr w:rsidR="0023620F" w14:paraId="662B88CB" w14:textId="77777777" w:rsidTr="0023620F">
        <w:tc>
          <w:tcPr>
            <w:tcW w:w="3209" w:type="dxa"/>
          </w:tcPr>
          <w:p w14:paraId="6750B945" w14:textId="59B0CC66" w:rsidR="0023620F" w:rsidRDefault="0023620F" w:rsidP="0092075B">
            <w:r>
              <w:t>1-C</w:t>
            </w:r>
          </w:p>
        </w:tc>
        <w:tc>
          <w:tcPr>
            <w:tcW w:w="3210" w:type="dxa"/>
          </w:tcPr>
          <w:p w14:paraId="1EE08647" w14:textId="4AF6D5F2" w:rsidR="0023620F" w:rsidRDefault="0023620F" w:rsidP="0092075B">
            <w:r>
              <w:t>1-O</w:t>
            </w:r>
          </w:p>
        </w:tc>
        <w:tc>
          <w:tcPr>
            <w:tcW w:w="3210" w:type="dxa"/>
          </w:tcPr>
          <w:p w14:paraId="268C0F16" w14:textId="3B86A522" w:rsidR="0023620F" w:rsidRDefault="004F2983" w:rsidP="0092075B">
            <w:r>
              <w:t>Fixed antenna on BS side that is not part of the receiver. Inbuilt electronic array on UE side with no connectors available.</w:t>
            </w:r>
          </w:p>
        </w:tc>
      </w:tr>
      <w:tr w:rsidR="0023620F" w14:paraId="0715BEA2" w14:textId="77777777" w:rsidTr="0023620F">
        <w:tc>
          <w:tcPr>
            <w:tcW w:w="3209" w:type="dxa"/>
          </w:tcPr>
          <w:p w14:paraId="2F2BD0BA" w14:textId="2DA7B7BC" w:rsidR="0023620F" w:rsidRPr="00D74A0C" w:rsidRDefault="00D85F13" w:rsidP="0092075B">
            <w:pPr>
              <w:rPr>
                <w:color w:val="FF0000"/>
              </w:rPr>
            </w:pPr>
            <w:r w:rsidRPr="00D74A0C">
              <w:rPr>
                <w:color w:val="FF0000"/>
              </w:rPr>
              <w:t>1-H</w:t>
            </w:r>
          </w:p>
        </w:tc>
        <w:tc>
          <w:tcPr>
            <w:tcW w:w="3210" w:type="dxa"/>
          </w:tcPr>
          <w:p w14:paraId="3EF34883" w14:textId="50D1F249" w:rsidR="0023620F" w:rsidRPr="00D74A0C" w:rsidRDefault="00D85F13" w:rsidP="0092075B">
            <w:pPr>
              <w:rPr>
                <w:color w:val="FF0000"/>
              </w:rPr>
            </w:pPr>
            <w:r w:rsidRPr="00D74A0C">
              <w:rPr>
                <w:color w:val="FF0000"/>
              </w:rPr>
              <w:t>1-C</w:t>
            </w:r>
          </w:p>
        </w:tc>
        <w:tc>
          <w:tcPr>
            <w:tcW w:w="3210" w:type="dxa"/>
          </w:tcPr>
          <w:p w14:paraId="42B11B44" w14:textId="460C385F" w:rsidR="0023620F" w:rsidRPr="00D74A0C" w:rsidRDefault="004F2983" w:rsidP="0092075B">
            <w:pPr>
              <w:rPr>
                <w:color w:val="FF0000"/>
              </w:rPr>
            </w:pPr>
            <w:r w:rsidRPr="00D74A0C">
              <w:rPr>
                <w:color w:val="FF0000"/>
              </w:rPr>
              <w:t>Electronic array on BS side</w:t>
            </w:r>
            <w:r w:rsidR="00877E78" w:rsidRPr="00D74A0C">
              <w:rPr>
                <w:color w:val="FF0000"/>
              </w:rPr>
              <w:t xml:space="preserve"> with connectors</w:t>
            </w:r>
            <w:r w:rsidRPr="00D74A0C">
              <w:rPr>
                <w:color w:val="FF0000"/>
              </w:rPr>
              <w:t xml:space="preserve">, but separate fixed antenna on the UE side that </w:t>
            </w:r>
            <w:r w:rsidR="00877E78" w:rsidRPr="00D74A0C">
              <w:rPr>
                <w:color w:val="FF0000"/>
              </w:rPr>
              <w:t>is not part of the repeater.</w:t>
            </w:r>
          </w:p>
          <w:p w14:paraId="1631945F" w14:textId="10C01576" w:rsidR="00877E78" w:rsidRPr="00D74A0C" w:rsidRDefault="00877E78" w:rsidP="0092075B">
            <w:pPr>
              <w:rPr>
                <w:color w:val="FF0000"/>
              </w:rPr>
            </w:pPr>
            <w:r w:rsidRPr="00D74A0C">
              <w:rPr>
                <w:color w:val="FF0000"/>
              </w:rPr>
              <w:t>Does not make sense because there is no ability to do the beam-steering functionality of the NCR.</w:t>
            </w:r>
          </w:p>
        </w:tc>
      </w:tr>
      <w:tr w:rsidR="00877E78" w14:paraId="07CE81A6" w14:textId="77777777" w:rsidTr="0023620F">
        <w:tc>
          <w:tcPr>
            <w:tcW w:w="3209" w:type="dxa"/>
          </w:tcPr>
          <w:p w14:paraId="683EF037" w14:textId="1D3059C1" w:rsidR="00877E78" w:rsidRPr="00D74A0C" w:rsidRDefault="00877E78" w:rsidP="00877E78">
            <w:pPr>
              <w:rPr>
                <w:color w:val="FF0000"/>
              </w:rPr>
            </w:pPr>
            <w:r w:rsidRPr="00D74A0C">
              <w:rPr>
                <w:color w:val="FF0000"/>
              </w:rPr>
              <w:t>1-O</w:t>
            </w:r>
          </w:p>
        </w:tc>
        <w:tc>
          <w:tcPr>
            <w:tcW w:w="3210" w:type="dxa"/>
          </w:tcPr>
          <w:p w14:paraId="519263FE" w14:textId="3CC62060" w:rsidR="00877E78" w:rsidRPr="00D74A0C" w:rsidRDefault="00877E78" w:rsidP="00877E78">
            <w:pPr>
              <w:rPr>
                <w:color w:val="FF0000"/>
              </w:rPr>
            </w:pPr>
            <w:r w:rsidRPr="00D74A0C">
              <w:rPr>
                <w:color w:val="FF0000"/>
              </w:rPr>
              <w:t>1-C</w:t>
            </w:r>
          </w:p>
        </w:tc>
        <w:tc>
          <w:tcPr>
            <w:tcW w:w="3210" w:type="dxa"/>
          </w:tcPr>
          <w:p w14:paraId="6EB4CA53" w14:textId="05CAA4A5" w:rsidR="00877E78" w:rsidRPr="00D74A0C" w:rsidRDefault="00877E78" w:rsidP="00877E78">
            <w:pPr>
              <w:rPr>
                <w:color w:val="FF0000"/>
              </w:rPr>
            </w:pPr>
            <w:r w:rsidRPr="00D74A0C">
              <w:rPr>
                <w:color w:val="FF0000"/>
              </w:rPr>
              <w:t xml:space="preserve">Electronic array on BS side with no connectors, but </w:t>
            </w:r>
            <w:r w:rsidRPr="00D74A0C">
              <w:rPr>
                <w:color w:val="FF0000"/>
              </w:rPr>
              <w:lastRenderedPageBreak/>
              <w:t>separate fixed antenna on the UE side that is not part of the repeater.</w:t>
            </w:r>
          </w:p>
          <w:p w14:paraId="7812E455" w14:textId="28C2BD14" w:rsidR="00877E78" w:rsidRPr="00D74A0C" w:rsidRDefault="00877E78" w:rsidP="00877E78">
            <w:pPr>
              <w:rPr>
                <w:color w:val="FF0000"/>
              </w:rPr>
            </w:pPr>
            <w:r w:rsidRPr="00D74A0C">
              <w:rPr>
                <w:color w:val="FF0000"/>
              </w:rPr>
              <w:t>Does not make sense because there is no ability to do the beam-steering functionality of the NCR.</w:t>
            </w:r>
          </w:p>
        </w:tc>
      </w:tr>
      <w:tr w:rsidR="00877E78" w14:paraId="6F573608" w14:textId="77777777" w:rsidTr="0023620F">
        <w:tc>
          <w:tcPr>
            <w:tcW w:w="3209" w:type="dxa"/>
          </w:tcPr>
          <w:p w14:paraId="18507F05" w14:textId="47825431" w:rsidR="00877E78" w:rsidRPr="00D74A0C" w:rsidRDefault="00877E78" w:rsidP="00877E78">
            <w:pPr>
              <w:rPr>
                <w:color w:val="FFC000"/>
              </w:rPr>
            </w:pPr>
            <w:r w:rsidRPr="00D74A0C">
              <w:rPr>
                <w:color w:val="FFC000"/>
              </w:rPr>
              <w:lastRenderedPageBreak/>
              <w:t>1-H</w:t>
            </w:r>
          </w:p>
        </w:tc>
        <w:tc>
          <w:tcPr>
            <w:tcW w:w="3210" w:type="dxa"/>
          </w:tcPr>
          <w:p w14:paraId="6325A1C1" w14:textId="303494CA" w:rsidR="00877E78" w:rsidRPr="00D74A0C" w:rsidRDefault="00877E78" w:rsidP="00877E78">
            <w:pPr>
              <w:rPr>
                <w:color w:val="FFC000"/>
              </w:rPr>
            </w:pPr>
            <w:r w:rsidRPr="00D74A0C">
              <w:rPr>
                <w:color w:val="FFC000"/>
              </w:rPr>
              <w:t>1-O</w:t>
            </w:r>
          </w:p>
        </w:tc>
        <w:tc>
          <w:tcPr>
            <w:tcW w:w="3210" w:type="dxa"/>
          </w:tcPr>
          <w:p w14:paraId="35BB5922" w14:textId="4F1615F2" w:rsidR="00877E78" w:rsidRPr="00D74A0C" w:rsidRDefault="00877E78" w:rsidP="00877E78">
            <w:pPr>
              <w:rPr>
                <w:color w:val="FFC000"/>
              </w:rPr>
            </w:pPr>
            <w:r w:rsidRPr="00D74A0C">
              <w:rPr>
                <w:color w:val="FFC000"/>
              </w:rPr>
              <w:t>Electronic beam steering array</w:t>
            </w:r>
            <w:r w:rsidR="002E5ED7" w:rsidRPr="00D74A0C">
              <w:rPr>
                <w:color w:val="FFC000"/>
              </w:rPr>
              <w:t xml:space="preserve"> on both sides, but the BS side has connectors available whereas the UE side does not. Does this case really make </w:t>
            </w:r>
            <w:proofErr w:type="gramStart"/>
            <w:r w:rsidR="002E5ED7" w:rsidRPr="00D74A0C">
              <w:rPr>
                <w:color w:val="FFC000"/>
              </w:rPr>
              <w:t>sense ?</w:t>
            </w:r>
            <w:proofErr w:type="gramEnd"/>
            <w:r w:rsidRPr="00D74A0C">
              <w:rPr>
                <w:color w:val="FFC000"/>
              </w:rPr>
              <w:t xml:space="preserve"> </w:t>
            </w:r>
          </w:p>
        </w:tc>
      </w:tr>
      <w:tr w:rsidR="00877E78" w14:paraId="7AD24DAB" w14:textId="77777777" w:rsidTr="0023620F">
        <w:tc>
          <w:tcPr>
            <w:tcW w:w="3209" w:type="dxa"/>
          </w:tcPr>
          <w:p w14:paraId="7CCF7BA3" w14:textId="23538EFE" w:rsidR="00877E78" w:rsidRPr="00D74A0C" w:rsidRDefault="00877E78" w:rsidP="00877E78">
            <w:pPr>
              <w:rPr>
                <w:color w:val="FFC000"/>
              </w:rPr>
            </w:pPr>
            <w:r w:rsidRPr="00D74A0C">
              <w:rPr>
                <w:color w:val="FFC000"/>
              </w:rPr>
              <w:t>1-O</w:t>
            </w:r>
          </w:p>
        </w:tc>
        <w:tc>
          <w:tcPr>
            <w:tcW w:w="3210" w:type="dxa"/>
          </w:tcPr>
          <w:p w14:paraId="3EC719A5" w14:textId="6ADCBC6D" w:rsidR="00877E78" w:rsidRPr="00D74A0C" w:rsidRDefault="00877E78" w:rsidP="00877E78">
            <w:pPr>
              <w:rPr>
                <w:color w:val="FFC000"/>
              </w:rPr>
            </w:pPr>
            <w:r w:rsidRPr="00D74A0C">
              <w:rPr>
                <w:color w:val="FFC000"/>
              </w:rPr>
              <w:t>1-H</w:t>
            </w:r>
          </w:p>
        </w:tc>
        <w:tc>
          <w:tcPr>
            <w:tcW w:w="3210" w:type="dxa"/>
          </w:tcPr>
          <w:p w14:paraId="772FAB7A" w14:textId="4F52BF31" w:rsidR="00877E78" w:rsidRPr="00D74A0C" w:rsidRDefault="002E5ED7" w:rsidP="00877E78">
            <w:pPr>
              <w:rPr>
                <w:color w:val="FFC000"/>
              </w:rPr>
            </w:pPr>
            <w:r w:rsidRPr="00D74A0C">
              <w:rPr>
                <w:color w:val="FFC000"/>
              </w:rPr>
              <w:t xml:space="preserve">Electronic beam steering array on both sides, but the UE side has connectors available whereas the BS side does not. Does this case really make </w:t>
            </w:r>
            <w:proofErr w:type="gramStart"/>
            <w:r w:rsidRPr="00D74A0C">
              <w:rPr>
                <w:color w:val="FFC000"/>
              </w:rPr>
              <w:t>sense ?</w:t>
            </w:r>
            <w:proofErr w:type="gramEnd"/>
          </w:p>
        </w:tc>
      </w:tr>
      <w:tr w:rsidR="00877E78" w14:paraId="4FF5974E" w14:textId="77777777" w:rsidTr="0023620F">
        <w:tc>
          <w:tcPr>
            <w:tcW w:w="3209" w:type="dxa"/>
          </w:tcPr>
          <w:p w14:paraId="682AF433" w14:textId="35FD36CC" w:rsidR="00877E78" w:rsidRDefault="00877E78" w:rsidP="00877E78">
            <w:r>
              <w:t>1-H</w:t>
            </w:r>
          </w:p>
        </w:tc>
        <w:tc>
          <w:tcPr>
            <w:tcW w:w="3210" w:type="dxa"/>
          </w:tcPr>
          <w:p w14:paraId="52E74176" w14:textId="1E65A572" w:rsidR="00877E78" w:rsidRDefault="00877E78" w:rsidP="00877E78">
            <w:r>
              <w:t>1-H</w:t>
            </w:r>
          </w:p>
        </w:tc>
        <w:tc>
          <w:tcPr>
            <w:tcW w:w="3210" w:type="dxa"/>
          </w:tcPr>
          <w:p w14:paraId="0CC72C27" w14:textId="6A3CE161" w:rsidR="00877E78" w:rsidRDefault="002E5ED7" w:rsidP="00877E78">
            <w:r>
              <w:t>Electronic beam steering array on both sides with connectors</w:t>
            </w:r>
          </w:p>
        </w:tc>
      </w:tr>
      <w:tr w:rsidR="00877E78" w14:paraId="353C65DF" w14:textId="77777777" w:rsidTr="0023620F">
        <w:tc>
          <w:tcPr>
            <w:tcW w:w="3209" w:type="dxa"/>
          </w:tcPr>
          <w:p w14:paraId="59CB4386" w14:textId="6744B0C2" w:rsidR="00877E78" w:rsidRDefault="00877E78" w:rsidP="00877E78">
            <w:r>
              <w:t>1-O</w:t>
            </w:r>
          </w:p>
        </w:tc>
        <w:tc>
          <w:tcPr>
            <w:tcW w:w="3210" w:type="dxa"/>
          </w:tcPr>
          <w:p w14:paraId="65EA5434" w14:textId="24E3F3B9" w:rsidR="00877E78" w:rsidRDefault="00877E78" w:rsidP="00877E78">
            <w:r>
              <w:t>1-O</w:t>
            </w:r>
          </w:p>
        </w:tc>
        <w:tc>
          <w:tcPr>
            <w:tcW w:w="3210" w:type="dxa"/>
          </w:tcPr>
          <w:p w14:paraId="69AD37A3" w14:textId="358E8D61" w:rsidR="00877E78" w:rsidRDefault="002E5ED7" w:rsidP="00877E78">
            <w:r>
              <w:t>Electronic beam steering array on both sides with no connectors. This case can easily be based on the Rel-17 FR2 conformance specification.</w:t>
            </w:r>
          </w:p>
        </w:tc>
      </w:tr>
    </w:tbl>
    <w:p w14:paraId="5CE44C4A" w14:textId="09DD165A" w:rsidR="00555C32" w:rsidRDefault="00555C32" w:rsidP="0092075B"/>
    <w:p w14:paraId="01AF233C" w14:textId="107916BE" w:rsidR="00D74A0C" w:rsidRDefault="00D74A0C" w:rsidP="0092075B">
      <w:r>
        <w:t xml:space="preserve">As can be seen from the table above, </w:t>
      </w:r>
      <w:proofErr w:type="gramStart"/>
      <w:r>
        <w:t>a large number of</w:t>
      </w:r>
      <w:proofErr w:type="gramEnd"/>
      <w:r>
        <w:t xml:space="preserve"> different combinations of repeater types could occur in theory, which could </w:t>
      </w:r>
      <w:r w:rsidR="007C73F0">
        <w:t xml:space="preserve">severely complicate the conformance specifications. However, not </w:t>
      </w:r>
      <w:proofErr w:type="gramStart"/>
      <w:r w:rsidR="007C73F0">
        <w:t>all of</w:t>
      </w:r>
      <w:proofErr w:type="gramEnd"/>
      <w:r w:rsidR="007C73F0">
        <w:t xml:space="preserve"> the combinations make sense. It does not make sense to assume a separate, fixed antenna on the UE side of the repeater</w:t>
      </w:r>
      <w:r w:rsidR="00EC4E44">
        <w:t>, since it would then not be possible to perform the NCR beam-steering functionality. Furthermore, it is not entirely obvious that mixed 1-H and 1-O makes sense</w:t>
      </w:r>
      <w:r w:rsidR="00324F4A">
        <w:t>; since the repeater is a single unit it is not obvious why a repeater would be built with connectors on one side but not on the other side.</w:t>
      </w:r>
    </w:p>
    <w:p w14:paraId="106A26D5" w14:textId="53606882" w:rsidR="00324F4A" w:rsidRDefault="00324F4A" w:rsidP="0092075B"/>
    <w:p w14:paraId="349626BB" w14:textId="2177CB4B" w:rsidR="00324F4A" w:rsidRDefault="00324F4A" w:rsidP="0092075B">
      <w:r>
        <w:t>During RAN4#108</w:t>
      </w:r>
      <w:r w:rsidR="00CD5DAA">
        <w:t xml:space="preserve">, it was suggested that conducted testing would be needed at least for the RX spurious emissions requirement. In this case, it would be necessary to build connectors for </w:t>
      </w:r>
      <w:r w:rsidR="000C4C1F">
        <w:t xml:space="preserve">testing of RX spurious emissions. Furthermore, there is no </w:t>
      </w:r>
      <w:r w:rsidR="00D34E24">
        <w:t xml:space="preserve">type that allows for conducted testing of RX spurious emissions alone, so if RX spurious emissions is to be tested using conducted </w:t>
      </w:r>
      <w:proofErr w:type="gramStart"/>
      <w:r w:rsidR="00D34E24">
        <w:t>testing</w:t>
      </w:r>
      <w:proofErr w:type="gramEnd"/>
      <w:r w:rsidR="00D34E24">
        <w:t xml:space="preserve"> then type 1-H would be necessary and type 1-O would not be applicable (nor would it make sense to do OTA testing of requirements when a connector is anyhow available for conducted testing).</w:t>
      </w:r>
    </w:p>
    <w:p w14:paraId="6C465D8B" w14:textId="75BE2122" w:rsidR="00D34E24" w:rsidRDefault="00D34E24" w:rsidP="0092075B"/>
    <w:p w14:paraId="1A0A0320" w14:textId="7006733A" w:rsidR="00D34E24" w:rsidRDefault="00D34E24" w:rsidP="0092075B">
      <w:r>
        <w:t>With this in mind, even if mixed types are enabled there is scope for a considerable reduction in the number of combinations of types, potentially to just 1-C/1-</w:t>
      </w:r>
      <w:proofErr w:type="gramStart"/>
      <w:r>
        <w:t>C  (</w:t>
      </w:r>
      <w:proofErr w:type="gramEnd"/>
      <w:r>
        <w:t>Rel-17), 1-C/1-H and 1-H/1-H.</w:t>
      </w:r>
    </w:p>
    <w:p w14:paraId="427F7713" w14:textId="2F07E93F" w:rsidR="00D34E24" w:rsidRDefault="00D34E24" w:rsidP="0092075B"/>
    <w:p w14:paraId="5D8BEB74" w14:textId="371BBD90" w:rsidR="00D34E24" w:rsidRPr="0092075B" w:rsidRDefault="00D34E24" w:rsidP="00D34E24">
      <w:pPr>
        <w:pStyle w:val="Proposal"/>
      </w:pPr>
      <w:bookmarkStart w:id="6" w:name="_Toc146708078"/>
      <w:r>
        <w:lastRenderedPageBreak/>
        <w:t>If mixed repeater types are to be enabled, RAN4 should strive to minimize the number of combinations of types.</w:t>
      </w:r>
      <w:bookmarkEnd w:id="6"/>
    </w:p>
    <w:p w14:paraId="488F31E5" w14:textId="4E16DEE4" w:rsidR="00B409E0" w:rsidRPr="002D48B0" w:rsidRDefault="00B409E0" w:rsidP="00CF7D7A">
      <w:pPr>
        <w:pStyle w:val="Heading2"/>
        <w:ind w:left="0" w:firstLine="0"/>
        <w:rPr>
          <w:color w:val="808080"/>
        </w:rPr>
      </w:pPr>
    </w:p>
    <w:p w14:paraId="37EB5693" w14:textId="77777777" w:rsidR="00C01F33" w:rsidRPr="00CE0424" w:rsidRDefault="00C01F33" w:rsidP="00CE0424">
      <w:pPr>
        <w:pStyle w:val="Heading1"/>
      </w:pPr>
      <w:r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EE9C1D" w14:textId="6822DCA6" w:rsidR="003D0BFD"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08074" w:history="1">
        <w:r w:rsidR="003D0BFD" w:rsidRPr="0028415B">
          <w:rPr>
            <w:rStyle w:val="Hyperlink"/>
            <w:noProof/>
            <w:lang w:val="en-GB"/>
          </w:rPr>
          <w:t>Proposal 1</w:t>
        </w:r>
        <w:r w:rsidR="003D0BFD">
          <w:rPr>
            <w:rFonts w:asciiTheme="minorHAnsi" w:eastAsiaTheme="minorEastAsia" w:hAnsiTheme="minorHAnsi"/>
            <w:b w:val="0"/>
            <w:noProof/>
            <w:sz w:val="22"/>
            <w:lang w:val="en-SE" w:eastAsia="en-SE"/>
          </w:rPr>
          <w:tab/>
        </w:r>
        <w:r w:rsidR="003D0BFD" w:rsidRPr="0028415B">
          <w:rPr>
            <w:rStyle w:val="Hyperlink"/>
            <w:noProof/>
            <w:lang w:val="en-GB"/>
          </w:rPr>
          <w:t>Apply the test configurations of 38.115 for NCR-FWD UL when there is no simultaneous NCR-MT transmission.</w:t>
        </w:r>
      </w:hyperlink>
    </w:p>
    <w:p w14:paraId="49E7F6E0" w14:textId="3A972CC7" w:rsidR="003D0BFD" w:rsidRDefault="003D0BFD">
      <w:pPr>
        <w:pStyle w:val="TableofFigures"/>
        <w:tabs>
          <w:tab w:val="right" w:leader="dot" w:pos="9629"/>
        </w:tabs>
        <w:rPr>
          <w:rFonts w:asciiTheme="minorHAnsi" w:eastAsiaTheme="minorEastAsia" w:hAnsiTheme="minorHAnsi"/>
          <w:b w:val="0"/>
          <w:noProof/>
          <w:sz w:val="22"/>
          <w:lang w:val="en-SE" w:eastAsia="en-SE"/>
        </w:rPr>
      </w:pPr>
      <w:hyperlink w:anchor="_Toc146708075" w:history="1">
        <w:r w:rsidRPr="0028415B">
          <w:rPr>
            <w:rStyle w:val="Hyperlink"/>
            <w:noProof/>
          </w:rPr>
          <w:t>Proposal 2</w:t>
        </w:r>
        <w:r>
          <w:rPr>
            <w:rFonts w:asciiTheme="minorHAnsi" w:eastAsiaTheme="minorEastAsia" w:hAnsiTheme="minorHAnsi"/>
            <w:b w:val="0"/>
            <w:noProof/>
            <w:sz w:val="22"/>
            <w:lang w:val="en-SE" w:eastAsia="en-SE"/>
          </w:rPr>
          <w:tab/>
        </w:r>
        <w:r w:rsidRPr="0028415B">
          <w:rPr>
            <w:rStyle w:val="Hyperlink"/>
            <w:noProof/>
          </w:rPr>
          <w:t>For simultaneous NCR-FWD and NCR-MT with both in the passband frequency range, test with the NCR-FWD activated and one of the NCR-FWD input carriers replaced by NCR-MT. Repeat the test such that all NCR-MT positions at RF bandwidth edges are tested.</w:t>
        </w:r>
      </w:hyperlink>
    </w:p>
    <w:p w14:paraId="62F6D041" w14:textId="407E640E" w:rsidR="003D0BFD" w:rsidRDefault="003D0BFD">
      <w:pPr>
        <w:pStyle w:val="TableofFigures"/>
        <w:tabs>
          <w:tab w:val="right" w:leader="dot" w:pos="9629"/>
        </w:tabs>
        <w:rPr>
          <w:rFonts w:asciiTheme="minorHAnsi" w:eastAsiaTheme="minorEastAsia" w:hAnsiTheme="minorHAnsi"/>
          <w:b w:val="0"/>
          <w:noProof/>
          <w:sz w:val="22"/>
          <w:lang w:val="en-SE" w:eastAsia="en-SE"/>
        </w:rPr>
      </w:pPr>
      <w:hyperlink w:anchor="_Toc146708076" w:history="1">
        <w:r w:rsidRPr="0028415B">
          <w:rPr>
            <w:rStyle w:val="Hyperlink"/>
            <w:noProof/>
          </w:rPr>
          <w:t>Proposal 3</w:t>
        </w:r>
        <w:r>
          <w:rPr>
            <w:rFonts w:asciiTheme="minorHAnsi" w:eastAsiaTheme="minorEastAsia" w:hAnsiTheme="minorHAnsi"/>
            <w:b w:val="0"/>
            <w:noProof/>
            <w:sz w:val="22"/>
            <w:lang w:val="en-SE" w:eastAsia="en-SE"/>
          </w:rPr>
          <w:tab/>
        </w:r>
        <w:r w:rsidRPr="0028415B">
          <w:rPr>
            <w:rStyle w:val="Hyperlink"/>
            <w:noProof/>
          </w:rPr>
          <w:t>If the MT is outside of the passband, then the FWD should be activated in the passband and the MT in each configurable position for joint testing.</w:t>
        </w:r>
      </w:hyperlink>
    </w:p>
    <w:p w14:paraId="31A0487F" w14:textId="38D3EA2A" w:rsidR="003D0BFD" w:rsidRDefault="003D0BFD">
      <w:pPr>
        <w:pStyle w:val="TableofFigures"/>
        <w:tabs>
          <w:tab w:val="right" w:leader="dot" w:pos="9629"/>
        </w:tabs>
        <w:rPr>
          <w:rFonts w:asciiTheme="minorHAnsi" w:eastAsiaTheme="minorEastAsia" w:hAnsiTheme="minorHAnsi"/>
          <w:b w:val="0"/>
          <w:noProof/>
          <w:sz w:val="22"/>
          <w:lang w:val="en-SE" w:eastAsia="en-SE"/>
        </w:rPr>
      </w:pPr>
      <w:hyperlink w:anchor="_Toc146708077" w:history="1">
        <w:r w:rsidRPr="0028415B">
          <w:rPr>
            <w:rStyle w:val="Hyperlink"/>
            <w:noProof/>
          </w:rPr>
          <w:t>Proposal 4</w:t>
        </w:r>
        <w:r>
          <w:rPr>
            <w:rFonts w:asciiTheme="minorHAnsi" w:eastAsiaTheme="minorEastAsia" w:hAnsiTheme="minorHAnsi"/>
            <w:b w:val="0"/>
            <w:noProof/>
            <w:sz w:val="22"/>
            <w:lang w:val="en-SE" w:eastAsia="en-SE"/>
          </w:rPr>
          <w:tab/>
        </w:r>
        <w:r w:rsidRPr="0028415B">
          <w:rPr>
            <w:rStyle w:val="Hyperlink"/>
            <w:noProof/>
          </w:rPr>
          <w:t>RAN4 clarify whether an MT carrier that partially overlaps the passband is possible.</w:t>
        </w:r>
      </w:hyperlink>
    </w:p>
    <w:p w14:paraId="6D0A05C7" w14:textId="6F09CE60" w:rsidR="003D0BFD" w:rsidRDefault="003D0BFD">
      <w:pPr>
        <w:pStyle w:val="TableofFigures"/>
        <w:tabs>
          <w:tab w:val="right" w:leader="dot" w:pos="9629"/>
        </w:tabs>
        <w:rPr>
          <w:rFonts w:asciiTheme="minorHAnsi" w:eastAsiaTheme="minorEastAsia" w:hAnsiTheme="minorHAnsi"/>
          <w:b w:val="0"/>
          <w:noProof/>
          <w:sz w:val="22"/>
          <w:lang w:val="en-SE" w:eastAsia="en-SE"/>
        </w:rPr>
      </w:pPr>
      <w:hyperlink w:anchor="_Toc146708078" w:history="1">
        <w:r w:rsidRPr="0028415B">
          <w:rPr>
            <w:rStyle w:val="Hyperlink"/>
            <w:noProof/>
          </w:rPr>
          <w:t>Proposal 5</w:t>
        </w:r>
        <w:r>
          <w:rPr>
            <w:rFonts w:asciiTheme="minorHAnsi" w:eastAsiaTheme="minorEastAsia" w:hAnsiTheme="minorHAnsi"/>
            <w:b w:val="0"/>
            <w:noProof/>
            <w:sz w:val="22"/>
            <w:lang w:val="en-SE" w:eastAsia="en-SE"/>
          </w:rPr>
          <w:tab/>
        </w:r>
        <w:r w:rsidRPr="0028415B">
          <w:rPr>
            <w:rStyle w:val="Hyperlink"/>
            <w:noProof/>
          </w:rPr>
          <w:t>If mixed repeater types are to be enabled, RAN4 should strive to minimize the number of combinations of types.</w:t>
        </w:r>
      </w:hyperlink>
    </w:p>
    <w:p w14:paraId="747C743C" w14:textId="348C94BC"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7" w:name="_In-sequence_SDU_delivery"/>
      <w:bookmarkEnd w:id="7"/>
      <w:r w:rsidRPr="00CE0424">
        <w:t>References</w:t>
      </w:r>
    </w:p>
    <w:p w14:paraId="715CA09B" w14:textId="252601C6" w:rsidR="003A7EF3" w:rsidRPr="00CE0424" w:rsidRDefault="00C9067C" w:rsidP="00CE0424">
      <w:pPr>
        <w:pStyle w:val="Reference"/>
      </w:pPr>
      <w:bookmarkStart w:id="8" w:name="_Ref174151459"/>
      <w:bookmarkStart w:id="9" w:name="_Ref189809556"/>
      <w:r>
        <w:t>R4-2313906</w:t>
      </w:r>
      <w:r w:rsidR="005F3025" w:rsidRPr="00CE0424">
        <w:t xml:space="preserve">, </w:t>
      </w:r>
      <w:r w:rsidRPr="00C9067C">
        <w:t>WF for NCR RF conformance test</w:t>
      </w:r>
      <w:r w:rsidR="005F3025" w:rsidRPr="00CE0424">
        <w:t xml:space="preserve">, </w:t>
      </w:r>
      <w:r>
        <w:t>CATT</w:t>
      </w:r>
      <w:r w:rsidR="005F3025" w:rsidRPr="00CE0424">
        <w:t xml:space="preserve">, </w:t>
      </w:r>
      <w:r>
        <w:t>RAN4#108</w:t>
      </w:r>
      <w:r w:rsidR="005F3025" w:rsidRPr="00CE0424">
        <w:t xml:space="preserve">, </w:t>
      </w:r>
      <w:r w:rsidR="005D5260">
        <w:t>August 2023</w:t>
      </w:r>
      <w:bookmarkEnd w:id="8"/>
      <w:bookmarkEnd w:id="9"/>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31F2D" w14:textId="77777777" w:rsidR="00CE1E16" w:rsidRDefault="00CE1E16">
      <w:r>
        <w:separator/>
      </w:r>
    </w:p>
  </w:endnote>
  <w:endnote w:type="continuationSeparator" w:id="0">
    <w:p w14:paraId="7BF939FF" w14:textId="77777777" w:rsidR="00CE1E16" w:rsidRDefault="00CE1E16">
      <w:r>
        <w:continuationSeparator/>
      </w:r>
    </w:p>
  </w:endnote>
  <w:endnote w:type="continuationNotice" w:id="1">
    <w:p w14:paraId="70EAE72B" w14:textId="77777777" w:rsidR="00CE1E16" w:rsidRDefault="00CE1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EE8FC" w14:textId="77777777" w:rsidR="00CE1E16" w:rsidRDefault="00CE1E16">
      <w:r>
        <w:separator/>
      </w:r>
    </w:p>
  </w:footnote>
  <w:footnote w:type="continuationSeparator" w:id="0">
    <w:p w14:paraId="4A294F04" w14:textId="77777777" w:rsidR="00CE1E16" w:rsidRDefault="00CE1E16">
      <w:r>
        <w:continuationSeparator/>
      </w:r>
    </w:p>
  </w:footnote>
  <w:footnote w:type="continuationNotice" w:id="1">
    <w:p w14:paraId="16D213D0" w14:textId="77777777" w:rsidR="00CE1E16" w:rsidRDefault="00CE1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26E5F"/>
    <w:rsid w:val="000325B8"/>
    <w:rsid w:val="00034C15"/>
    <w:rsid w:val="00036BA1"/>
    <w:rsid w:val="00037597"/>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1F"/>
    <w:rsid w:val="000D0D07"/>
    <w:rsid w:val="000D4797"/>
    <w:rsid w:val="000E0527"/>
    <w:rsid w:val="000E057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2FB"/>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20F"/>
    <w:rsid w:val="00241559"/>
    <w:rsid w:val="002435B3"/>
    <w:rsid w:val="002458EB"/>
    <w:rsid w:val="0024642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5ED7"/>
    <w:rsid w:val="002E7CAE"/>
    <w:rsid w:val="002F13E4"/>
    <w:rsid w:val="002F2771"/>
    <w:rsid w:val="002F37A9"/>
    <w:rsid w:val="00301CE6"/>
    <w:rsid w:val="0030256B"/>
    <w:rsid w:val="0030501F"/>
    <w:rsid w:val="00306918"/>
    <w:rsid w:val="00307BA1"/>
    <w:rsid w:val="00311702"/>
    <w:rsid w:val="00311E82"/>
    <w:rsid w:val="00313FD6"/>
    <w:rsid w:val="003143BD"/>
    <w:rsid w:val="00315363"/>
    <w:rsid w:val="003203ED"/>
    <w:rsid w:val="00322C9F"/>
    <w:rsid w:val="00324D23"/>
    <w:rsid w:val="00324F4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33B"/>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703"/>
    <w:rsid w:val="003C7806"/>
    <w:rsid w:val="003D0BFD"/>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2983"/>
    <w:rsid w:val="004F4DA3"/>
    <w:rsid w:val="00506557"/>
    <w:rsid w:val="0050677A"/>
    <w:rsid w:val="005108D8"/>
    <w:rsid w:val="005116F9"/>
    <w:rsid w:val="005153A7"/>
    <w:rsid w:val="005219CF"/>
    <w:rsid w:val="00534B59"/>
    <w:rsid w:val="00536759"/>
    <w:rsid w:val="00537C62"/>
    <w:rsid w:val="00546970"/>
    <w:rsid w:val="00554E19"/>
    <w:rsid w:val="00555C32"/>
    <w:rsid w:val="0056121F"/>
    <w:rsid w:val="00572505"/>
    <w:rsid w:val="00577143"/>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F17"/>
    <w:rsid w:val="005C74FB"/>
    <w:rsid w:val="005D1602"/>
    <w:rsid w:val="005D5260"/>
    <w:rsid w:val="005E171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388"/>
    <w:rsid w:val="006F6582"/>
    <w:rsid w:val="0070346E"/>
    <w:rsid w:val="00704EDB"/>
    <w:rsid w:val="00706101"/>
    <w:rsid w:val="00707072"/>
    <w:rsid w:val="00707D61"/>
    <w:rsid w:val="00712287"/>
    <w:rsid w:val="00712772"/>
    <w:rsid w:val="007148D3"/>
    <w:rsid w:val="00715B9A"/>
    <w:rsid w:val="00721B32"/>
    <w:rsid w:val="007255E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3F0"/>
    <w:rsid w:val="007C75A1"/>
    <w:rsid w:val="007C77A5"/>
    <w:rsid w:val="007D04E5"/>
    <w:rsid w:val="007D5901"/>
    <w:rsid w:val="007D7526"/>
    <w:rsid w:val="007E4610"/>
    <w:rsid w:val="007E4715"/>
    <w:rsid w:val="007E505B"/>
    <w:rsid w:val="007E7091"/>
    <w:rsid w:val="00803FAE"/>
    <w:rsid w:val="0080605F"/>
    <w:rsid w:val="00807786"/>
    <w:rsid w:val="00811FCB"/>
    <w:rsid w:val="0081316F"/>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E78"/>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57"/>
    <w:rsid w:val="008C4958"/>
    <w:rsid w:val="008C4BAA"/>
    <w:rsid w:val="008C6AE8"/>
    <w:rsid w:val="008C7573"/>
    <w:rsid w:val="008D00A5"/>
    <w:rsid w:val="008D34F1"/>
    <w:rsid w:val="008D39D8"/>
    <w:rsid w:val="008D6D1A"/>
    <w:rsid w:val="008E065E"/>
    <w:rsid w:val="008E0927"/>
    <w:rsid w:val="008E1528"/>
    <w:rsid w:val="008E1909"/>
    <w:rsid w:val="008F1C4E"/>
    <w:rsid w:val="008F1EAB"/>
    <w:rsid w:val="008F33DC"/>
    <w:rsid w:val="008F477F"/>
    <w:rsid w:val="00902350"/>
    <w:rsid w:val="0090336B"/>
    <w:rsid w:val="009053AA"/>
    <w:rsid w:val="00906939"/>
    <w:rsid w:val="00910B7D"/>
    <w:rsid w:val="00911DFB"/>
    <w:rsid w:val="009139D9"/>
    <w:rsid w:val="00914078"/>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6B2"/>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1B9A"/>
    <w:rsid w:val="00A62A77"/>
    <w:rsid w:val="00A63483"/>
    <w:rsid w:val="00A657D7"/>
    <w:rsid w:val="00A660AC"/>
    <w:rsid w:val="00A67E6C"/>
    <w:rsid w:val="00A71B99"/>
    <w:rsid w:val="00A739D0"/>
    <w:rsid w:val="00A761D4"/>
    <w:rsid w:val="00A77EC4"/>
    <w:rsid w:val="00A821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4567"/>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1A9"/>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7C"/>
    <w:rsid w:val="00C9068E"/>
    <w:rsid w:val="00C91DE6"/>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DAA"/>
    <w:rsid w:val="00CE0424"/>
    <w:rsid w:val="00CE1E16"/>
    <w:rsid w:val="00CE7561"/>
    <w:rsid w:val="00CF1354"/>
    <w:rsid w:val="00CF3B1F"/>
    <w:rsid w:val="00CF3BF6"/>
    <w:rsid w:val="00CF625B"/>
    <w:rsid w:val="00CF687E"/>
    <w:rsid w:val="00CF7D7A"/>
    <w:rsid w:val="00D0349B"/>
    <w:rsid w:val="00D10249"/>
    <w:rsid w:val="00D115C3"/>
    <w:rsid w:val="00D11897"/>
    <w:rsid w:val="00D13135"/>
    <w:rsid w:val="00D13E4E"/>
    <w:rsid w:val="00D239A7"/>
    <w:rsid w:val="00D23F47"/>
    <w:rsid w:val="00D34E24"/>
    <w:rsid w:val="00D36E71"/>
    <w:rsid w:val="00D37D87"/>
    <w:rsid w:val="00D40B33"/>
    <w:rsid w:val="00D4318F"/>
    <w:rsid w:val="00D438BF"/>
    <w:rsid w:val="00D440F8"/>
    <w:rsid w:val="00D546FF"/>
    <w:rsid w:val="00D55AD5"/>
    <w:rsid w:val="00D576CA"/>
    <w:rsid w:val="00D61AF5"/>
    <w:rsid w:val="00D62504"/>
    <w:rsid w:val="00D652B5"/>
    <w:rsid w:val="00D66155"/>
    <w:rsid w:val="00D708B0"/>
    <w:rsid w:val="00D74A0C"/>
    <w:rsid w:val="00D77B1D"/>
    <w:rsid w:val="00D8021F"/>
    <w:rsid w:val="00D80383"/>
    <w:rsid w:val="00D823C6"/>
    <w:rsid w:val="00D8327F"/>
    <w:rsid w:val="00D85F1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CE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E41"/>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E44"/>
    <w:rsid w:val="00EC5653"/>
    <w:rsid w:val="00EC71CE"/>
    <w:rsid w:val="00ED1006"/>
    <w:rsid w:val="00EF18FE"/>
    <w:rsid w:val="00EF5787"/>
    <w:rsid w:val="00EF60D0"/>
    <w:rsid w:val="00F0400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0CF"/>
    <w:rsid w:val="00F60203"/>
    <w:rsid w:val="00F607C5"/>
    <w:rsid w:val="00F60DEA"/>
    <w:rsid w:val="00F618D4"/>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1DBD16-4EBC-4C74-99BB-1D354F0DC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2f282d3b-eb4a-4b09-b61f-b9593442e286"/>
    <ds:schemaRef ds:uri="9b239327-9e80-40e4-b1b7-4394fed77a33"/>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1283</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51</cp:revision>
  <cp:lastPrinted>2008-01-31T16:09:00Z</cp:lastPrinted>
  <dcterms:created xsi:type="dcterms:W3CDTF">2020-08-14T06:21:00Z</dcterms:created>
  <dcterms:modified xsi:type="dcterms:W3CDTF">2023-09-27T09:54:00Z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